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Kod: 4.29.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Berna Türemen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İkili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Gravür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1975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Kod: 4.31.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Berna Türemen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Atlı Kız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Litografi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1990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Kod. 4.27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Berna Türemen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Gravür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2000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Kod. 3.28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Berna Türemen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Seramik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2010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Kod. 3.21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Berna Türemen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Seramik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2010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Kod. 2.23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Berna Türemen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Press Tuval Üzerine Yağlı Boya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1978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Kod. 1.35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Berna Türemen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Tuval Üzerine Yağlı Boya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1976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dvOLxhM2DYFGsUvOpq2TEhnAdA==">CgMxLjA4AHIhMWJrcmVpQVQ1STFrNngwcFBScEs3NFFtSV9IZnYtRW9Y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2025-12-22T08:48:00Z</dcterms:created>
  <dc:creator>Zeynep DİKMEN</dc:creator>
</cp:coreProperties>
</file>